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7A48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</w:pPr>
      <w:bookmarkStart w:id="2" w:name="_GoBack"/>
      <w:bookmarkEnd w:id="2"/>
    </w:p>
    <w:p w14:paraId="27567D1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关于开展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2025年创新型中小企业评价和2022年创新型中小企业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复核工作的通知</w:t>
      </w:r>
    </w:p>
    <w:p w14:paraId="0007FB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198D382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各师市工业和信息化局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兵团国资公司：</w:t>
      </w:r>
    </w:p>
    <w:p w14:paraId="59F3E94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为深入贯彻《兵团办公厅关于印发〈新疆生产建设兵团优质企业梯度培育三年行动方案（2023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年）〉的通知》（新兵办发〔2022〕64号）文件精神，加强兵团优质中小企业梯度培育，推动中小企业高质量发展，按照《兵团工业和信息化局关于印发〈新疆生产建设兵团优质企业梯度培育管理实施细则（试行）〉的通知》（兵工信企业〔2023〕52号，以下简称《管理实施细则》）要求，组织开展2025年创新型中小企业评价和2022年创新型中小企业复核工作，现将有关事项通知如下：</w:t>
      </w:r>
    </w:p>
    <w:p w14:paraId="1BD42DBB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一、参评条件</w:t>
      </w:r>
    </w:p>
    <w:p w14:paraId="3F7373D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（一）参评企业应在新疆生产建设兵团辖区注册登记、具有独立法人资格。</w:t>
      </w:r>
    </w:p>
    <w:p w14:paraId="535BA9D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（二）符合《中小企业划型标准规定》（工信部联企业〔2011〕300号）。</w:t>
      </w:r>
    </w:p>
    <w:p w14:paraId="5332D0E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企业未被列入经营异常名录或严重失信主体名单，提供的产品（服务）不属于国家禁止、限制或淘汰类，同时近三年未发生重大安全（含网络安全、数据安全）、质量、环境污染等事故以及偷漏税等违法违规行为。</w:t>
      </w:r>
    </w:p>
    <w:p w14:paraId="26ECA13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（四）满足所申报类型的企业评价及认定标准；（附件1）</w:t>
      </w:r>
    </w:p>
    <w:p w14:paraId="15FCB0F8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二、评价程序</w:t>
      </w:r>
    </w:p>
    <w:p w14:paraId="3F0ED35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企业自评。企业按属地原则自愿登录工信部优质中小企业梯度培育平台（https://zjtx.miit.gov.cn/，以下简称培育平台，技术支持电话：0571-56137700），填报自评信息和相关佐证资料，填报截止时间为2025年2月28日。</w:t>
      </w:r>
    </w:p>
    <w:p w14:paraId="0E2050E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逐级推荐。各师市工业和信息化局按照培育平台账号管理权限（管理端网址、账号和登陆密码单独发送），逐级对企业填报的自评信息和相关佐证材料进行初核、实地抽查和推荐。各师市工业和信息化局于2025年3月7日前完成培育平台初核推荐，其中实地抽查比例不得低于推荐企业的20%。</w:t>
      </w:r>
    </w:p>
    <w:p w14:paraId="1B00D45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（三）审核评价。兵团工信局对各师市推荐企业的自评信息和相关佐证材料进行审核、实地抽查和公示。公示无异议的，由兵团工信局公告为创新型中小企业。</w:t>
      </w:r>
    </w:p>
    <w:p w14:paraId="199BA680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三、工作要求</w:t>
      </w:r>
    </w:p>
    <w:p w14:paraId="0B29CDB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按照《管理实施细则》规定，创新型中小企业是优质中小企业的基础力量，是申报专精特新中小企业的前提条件。创新型中小企业有效期为三年，2022年度认定的企业此次须申报复核。各师市工业和信息化局要高度重视创新型中小企业评价和复核工作，加强政策宣传，组织动员辖区内符合产业导向和评价标准的企业积极参与自评。</w:t>
      </w:r>
    </w:p>
    <w:p w14:paraId="12A74EB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参评企业要认真填报自评信息和相关佐证材料，对所填内容和提交资料的准确性、真实性、合法性、有效性负责，涉密信息不得填报。佐证材料要清晰完整并按规定要求上传（具体内容和要求详见附件2），否则将影响审核结果。</w:t>
      </w:r>
    </w:p>
    <w:p w14:paraId="01714BC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各师市工业和信息化部门通过培育平台管理端对企业资料进行初核，要仔细核对企业佐证材料与填报数据是否一致，然后根据评分进行推荐。对于数据不一致的企业，存在虚报谎报情况的，一经查实不予推荐。同时，要做好实地抽查工作，保证抽查比例达到规定要求。</w:t>
      </w:r>
    </w:p>
    <w:p w14:paraId="1D0C1B9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四）请各师市工信局严格按照通知明确的时间节点推进工作，并于2025年3月7日前将盖章后的推荐文件和创新型中小企业推荐汇总表（见附件3，需正式版和电子版）报送至兵团工信局运行监测协调处（中小企业处）。</w:t>
      </w:r>
    </w:p>
    <w:p w14:paraId="5330F1E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联系人：运行监测协调处（中小企业处）</w:t>
      </w:r>
    </w:p>
    <w:p w14:paraId="7DB1849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谭  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0991-2896812   </w:t>
      </w:r>
    </w:p>
    <w:p w14:paraId="774081C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343402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附件：1.创新型中小企业评价标准</w:t>
      </w:r>
    </w:p>
    <w:p w14:paraId="582A35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right="0" w:righ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创新型中小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企业上传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佐证材料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清单</w:t>
      </w:r>
    </w:p>
    <w:p w14:paraId="02FB06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right="0" w:righ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lang w:val="en-US" w:eastAsia="zh-CN"/>
        </w:rPr>
        <w:t>创新型中小企业推荐汇总表</w:t>
      </w:r>
    </w:p>
    <w:p w14:paraId="4892EF1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08BA3D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17D3B1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　　　　　　　　　　　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兵团工业和信息化局</w:t>
      </w:r>
    </w:p>
    <w:p w14:paraId="7CE603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footerReference r:id="rId3" w:type="default"/>
          <w:pgSz w:w="11906" w:h="16838"/>
          <w:pgMar w:top="1984" w:right="1531" w:bottom="1701" w:left="1531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　　　　　　　　　　　　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日 </w:t>
      </w:r>
    </w:p>
    <w:p w14:paraId="195FF570"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54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-27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1</w:t>
      </w:r>
    </w:p>
    <w:p w14:paraId="7D60A406"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54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创新型中小企业评价标准</w:t>
      </w:r>
    </w:p>
    <w:p w14:paraId="01A63B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02ABCC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一、公告条件</w:t>
      </w:r>
    </w:p>
    <w:p w14:paraId="7EE054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7"/>
          <w:w w:val="99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评价得分达到60分以上（其中创新能力指标得分不低</w:t>
      </w:r>
      <w:r>
        <w:rPr>
          <w:rFonts w:hint="default" w:ascii="Times New Roman" w:hAnsi="Times New Roman" w:eastAsia="仿宋_GB2312" w:cs="Times New Roman"/>
          <w:color w:val="auto"/>
          <w:w w:val="99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color w:val="auto"/>
          <w:spacing w:val="-2"/>
          <w:w w:val="99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auto"/>
          <w:w w:val="99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color w:val="auto"/>
          <w:spacing w:val="4"/>
          <w:w w:val="99"/>
          <w:sz w:val="32"/>
          <w:szCs w:val="32"/>
        </w:rPr>
        <w:t>分、成长性指标及专业化指标得分均不低于</w:t>
      </w:r>
      <w:r>
        <w:rPr>
          <w:rFonts w:hint="default" w:ascii="Times New Roman" w:hAnsi="Times New Roman" w:eastAsia="仿宋_GB2312" w:cs="Times New Roman"/>
          <w:color w:val="auto"/>
          <w:spacing w:val="-74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-2"/>
          <w:w w:val="99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w w:val="99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7"/>
          <w:w w:val="99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auto"/>
          <w:spacing w:val="7"/>
          <w:w w:val="99"/>
          <w:sz w:val="32"/>
          <w:szCs w:val="32"/>
          <w:lang w:eastAsia="zh-CN"/>
        </w:rPr>
        <w:t>），或满足下列条件之一：</w:t>
      </w:r>
    </w:p>
    <w:p w14:paraId="30DE35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</w:rPr>
        <w:t>近三年内获得过国家级、省级科技奖励。</w:t>
      </w:r>
    </w:p>
    <w:p w14:paraId="070A4C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</w:rPr>
        <w:t>（二）获得高新技术企业、国家级技术创新示范企业、知识产权优势企业和知识产权示范企业等荣誉（均为有效期内）。</w:t>
      </w:r>
    </w:p>
    <w:p w14:paraId="4F723B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</w:rPr>
        <w:t>（三）拥有经认定的省部级以上研发机构。</w:t>
      </w:r>
    </w:p>
    <w:p w14:paraId="6EBE8B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</w:rPr>
        <w:t>（四）近三年新增股权融资总额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</w:rPr>
        <w:t>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格机构投资者的实缴额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500万元以上。</w:t>
      </w:r>
    </w:p>
    <w:p w14:paraId="11BE6B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二、评价指标</w:t>
      </w:r>
    </w:p>
    <w:p w14:paraId="387328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包括创新能力、成长性、专业化三类六个指标，评价结果依分值计算，满分为100分。</w:t>
      </w:r>
    </w:p>
    <w:p w14:paraId="5A09B73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eastAsia="楷体_GB2312" w:cs="Times New Roman"/>
          <w:color w:val="auto"/>
        </w:rPr>
        <w:t>（一）创新能力指标（满分40分）</w:t>
      </w:r>
    </w:p>
    <w:p w14:paraId="77EE6888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pacing w:val="-7"/>
          <w:sz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b/>
          <w:color w:val="auto"/>
          <w:spacing w:val="-7"/>
          <w:sz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color w:val="auto"/>
          <w:spacing w:val="-7"/>
          <w:sz w:val="32"/>
        </w:rPr>
        <w:t>与企业主导产品相关的有效知识产权数量</w:t>
      </w:r>
      <w:r>
        <w:rPr>
          <w:rFonts w:hint="default" w:ascii="Times New Roman" w:hAnsi="Times New Roman" w:eastAsia="仿宋_GB2312" w:cs="Times New Roman"/>
          <w:b/>
          <w:color w:val="auto"/>
          <w:sz w:val="32"/>
        </w:rPr>
        <w:t>（满分20分）</w:t>
      </w:r>
    </w:p>
    <w:p w14:paraId="12731FB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A.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Ⅰ类高价值知识产权1项以上</w:t>
      </w:r>
      <w:r>
        <w:rPr>
          <w:rFonts w:hint="default" w:ascii="Times New Roman" w:hAnsi="Times New Roman" w:cs="Times New Roman"/>
          <w:color w:val="auto"/>
          <w:sz w:val="32"/>
        </w:rPr>
        <w:t>（</w:t>
      </w:r>
      <w:r>
        <w:rPr>
          <w:rFonts w:hint="default" w:ascii="Times New Roman" w:hAnsi="Times New Roman" w:eastAsia="Times New Roman" w:cs="Times New Roman"/>
          <w:color w:val="auto"/>
          <w:sz w:val="32"/>
        </w:rPr>
        <w:t>20</w:t>
      </w:r>
      <w:r>
        <w:rPr>
          <w:rFonts w:hint="default" w:ascii="Times New Roman" w:hAnsi="Times New Roman" w:cs="Times New Roman"/>
          <w:color w:val="auto"/>
          <w:sz w:val="32"/>
        </w:rPr>
        <w:t>分）</w:t>
      </w:r>
    </w:p>
    <w:p w14:paraId="7059C838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自主研发的Ⅰ类知识产权1项以上</w:t>
      </w:r>
      <w:r>
        <w:rPr>
          <w:rFonts w:hint="default" w:ascii="Times New Roman" w:hAnsi="Times New Roman" w:cs="Times New Roman"/>
          <w:color w:val="auto"/>
          <w:sz w:val="32"/>
        </w:rPr>
        <w:t>（</w:t>
      </w:r>
      <w:r>
        <w:rPr>
          <w:rFonts w:hint="default" w:ascii="Times New Roman" w:hAnsi="Times New Roman" w:eastAsia="Times New Roman" w:cs="Times New Roman"/>
          <w:color w:val="auto"/>
          <w:sz w:val="32"/>
        </w:rPr>
        <w:t>15</w:t>
      </w:r>
      <w:r>
        <w:rPr>
          <w:rFonts w:hint="default" w:ascii="Times New Roman" w:hAnsi="Times New Roman" w:cs="Times New Roman"/>
          <w:color w:val="auto"/>
          <w:sz w:val="32"/>
        </w:rPr>
        <w:t>分）</w:t>
      </w:r>
    </w:p>
    <w:p w14:paraId="6F60E1C8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C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Ⅰ类知识产权1项以上</w:t>
      </w:r>
      <w:r>
        <w:rPr>
          <w:rFonts w:hint="default" w:ascii="Times New Roman" w:hAnsi="Times New Roman" w:cs="Times New Roman"/>
          <w:color w:val="auto"/>
          <w:sz w:val="32"/>
        </w:rPr>
        <w:t>（</w:t>
      </w:r>
      <w:r>
        <w:rPr>
          <w:rFonts w:hint="default" w:ascii="Times New Roman" w:hAnsi="Times New Roman" w:eastAsia="Times New Roman" w:cs="Times New Roman"/>
          <w:color w:val="auto"/>
          <w:sz w:val="32"/>
        </w:rPr>
        <w:t>10</w:t>
      </w:r>
      <w:r>
        <w:rPr>
          <w:rFonts w:hint="default" w:ascii="Times New Roman" w:hAnsi="Times New Roman" w:cs="Times New Roman"/>
          <w:color w:val="auto"/>
          <w:sz w:val="32"/>
        </w:rPr>
        <w:t>分）</w:t>
      </w:r>
    </w:p>
    <w:p w14:paraId="6CBD07DD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sectPr>
          <w:footerReference r:id="rId4" w:type="default"/>
          <w:pgSz w:w="11906" w:h="16838"/>
          <w:pgMar w:top="1984" w:right="1531" w:bottom="1701" w:left="1531" w:header="851" w:footer="992" w:gutter="0"/>
          <w:pgNumType w:fmt="decimal"/>
          <w:cols w:space="720" w:num="1"/>
          <w:docGrid w:type="lines" w:linePitch="312" w:charSpace="0"/>
        </w:sectPr>
      </w:pPr>
    </w:p>
    <w:p w14:paraId="5BF89890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D.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Ⅱ类知识产权1项以上</w:t>
      </w:r>
      <w:r>
        <w:rPr>
          <w:rFonts w:hint="default" w:ascii="Times New Roman" w:hAnsi="Times New Roman" w:cs="Times New Roman"/>
          <w:color w:val="auto"/>
          <w:sz w:val="32"/>
        </w:rPr>
        <w:t>（</w:t>
      </w:r>
      <w:r>
        <w:rPr>
          <w:rFonts w:hint="default" w:ascii="Times New Roman" w:hAnsi="Times New Roman" w:eastAsia="Times New Roman" w:cs="Times New Roman"/>
          <w:color w:val="auto"/>
          <w:sz w:val="32"/>
        </w:rPr>
        <w:t>5</w:t>
      </w:r>
      <w:r>
        <w:rPr>
          <w:rFonts w:hint="default" w:ascii="Times New Roman" w:hAnsi="Times New Roman" w:cs="Times New Roman"/>
          <w:color w:val="auto"/>
          <w:sz w:val="32"/>
        </w:rPr>
        <w:t>分）</w:t>
      </w:r>
    </w:p>
    <w:p w14:paraId="154FE2F5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E.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无</w:t>
      </w:r>
      <w:r>
        <w:rPr>
          <w:rFonts w:hint="default" w:ascii="Times New Roman" w:hAnsi="Times New Roman" w:cs="Times New Roman"/>
          <w:color w:val="auto"/>
          <w:sz w:val="32"/>
        </w:rPr>
        <w:t>（</w:t>
      </w:r>
      <w:r>
        <w:rPr>
          <w:rFonts w:hint="default" w:ascii="Times New Roman" w:hAnsi="Times New Roman" w:eastAsia="Times New Roman" w:cs="Times New Roman"/>
          <w:color w:val="auto"/>
          <w:sz w:val="32"/>
        </w:rPr>
        <w:t>0</w:t>
      </w:r>
      <w:r>
        <w:rPr>
          <w:rFonts w:hint="default" w:ascii="Times New Roman" w:hAnsi="Times New Roman" w:cs="Times New Roman"/>
          <w:color w:val="auto"/>
          <w:sz w:val="32"/>
        </w:rPr>
        <w:t>分）</w:t>
      </w:r>
    </w:p>
    <w:p w14:paraId="65BA23EA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pacing w:val="-7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auto"/>
          <w:spacing w:val="-7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pacing w:val="-7"/>
        </w:rPr>
        <w:t>上年度研发费用总额占营业收入总额比重</w:t>
      </w:r>
      <w:r>
        <w:rPr>
          <w:rFonts w:hint="default" w:ascii="Times New Roman" w:hAnsi="Times New Roman" w:eastAsia="仿宋_GB2312" w:cs="Times New Roman"/>
          <w:color w:val="auto"/>
        </w:rPr>
        <w:t>（满分20分）</w:t>
      </w:r>
    </w:p>
    <w:p w14:paraId="3D645C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A.5%以上（20分）</w:t>
      </w:r>
    </w:p>
    <w:p w14:paraId="1A5A32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3%-5%（15分）</w:t>
      </w:r>
    </w:p>
    <w:p w14:paraId="4BC8B4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C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2%-3%（10分）</w:t>
      </w:r>
    </w:p>
    <w:p w14:paraId="3C0361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D.1%-2%（5分）</w:t>
      </w:r>
    </w:p>
    <w:p w14:paraId="50EFD8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E.1%以下（0分）</w:t>
      </w:r>
    </w:p>
    <w:p w14:paraId="29F97E7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eastAsia="楷体_GB2312" w:cs="Times New Roman"/>
          <w:color w:val="auto"/>
          <w:lang w:eastAsia="zh-CN"/>
        </w:rPr>
        <w:t>　　</w:t>
      </w:r>
      <w:r>
        <w:rPr>
          <w:rFonts w:hint="default" w:ascii="Times New Roman" w:hAnsi="Times New Roman" w:eastAsia="楷体_GB2312" w:cs="Times New Roman"/>
          <w:color w:val="auto"/>
        </w:rPr>
        <w:t>（二）成长性指标（满分30分）</w:t>
      </w:r>
    </w:p>
    <w:p w14:paraId="428CF7A1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b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color w:val="auto"/>
          <w:sz w:val="32"/>
        </w:rPr>
        <w:t>上年度主营业务收入增长率（满分</w:t>
      </w:r>
      <w:r>
        <w:rPr>
          <w:rFonts w:hint="default" w:ascii="Times New Roman" w:hAnsi="Times New Roman" w:eastAsia="Times New Roman" w:cs="Times New Roman"/>
          <w:b/>
          <w:color w:val="auto"/>
          <w:sz w:val="32"/>
        </w:rPr>
        <w:t>20</w:t>
      </w:r>
      <w:r>
        <w:rPr>
          <w:rFonts w:hint="default" w:ascii="Times New Roman" w:hAnsi="Times New Roman" w:eastAsia="仿宋_GB2312" w:cs="Times New Roman"/>
          <w:b/>
          <w:color w:val="auto"/>
          <w:sz w:val="32"/>
        </w:rPr>
        <w:t>分）</w:t>
      </w:r>
    </w:p>
    <w:p w14:paraId="7414DC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A.15%以上（20分）</w:t>
      </w:r>
    </w:p>
    <w:p w14:paraId="6C6C52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color w:val="auto"/>
          <w:spacing w:val="-5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10%-15%（15分）</w:t>
      </w:r>
    </w:p>
    <w:p w14:paraId="4D563E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C.5%-10%（10分）</w:t>
      </w:r>
    </w:p>
    <w:p w14:paraId="081510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D.0%-5%（5分）</w:t>
      </w:r>
    </w:p>
    <w:p w14:paraId="4A7FAC18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E.0%以下（0分）</w:t>
      </w:r>
    </w:p>
    <w:p w14:paraId="5490B11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</w:rPr>
        <w:t>上年度资产负债率（满分</w:t>
      </w:r>
      <w:r>
        <w:rPr>
          <w:rFonts w:hint="default" w:ascii="Times New Roman" w:hAnsi="Times New Roman" w:eastAsia="Times New Roman" w:cs="Times New Roman"/>
          <w:color w:val="auto"/>
        </w:rPr>
        <w:t>10</w:t>
      </w:r>
      <w:r>
        <w:rPr>
          <w:rFonts w:hint="default" w:ascii="Times New Roman" w:hAnsi="Times New Roman" w:eastAsia="仿宋_GB2312" w:cs="Times New Roman"/>
          <w:color w:val="auto"/>
        </w:rPr>
        <w:t>分）</w:t>
      </w:r>
    </w:p>
    <w:p w14:paraId="352B6F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A.55%以下（10分）</w:t>
      </w:r>
    </w:p>
    <w:p w14:paraId="3B2E10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55%-75%（5分）</w:t>
      </w:r>
    </w:p>
    <w:p w14:paraId="322442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C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.75%以上（0分）</w:t>
      </w:r>
    </w:p>
    <w:p w14:paraId="61B24F6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eastAsia="楷体_GB2312" w:cs="Times New Roman"/>
          <w:color w:val="auto"/>
        </w:rPr>
        <w:t>（三）专业化指标（满分30分）</w:t>
      </w:r>
    </w:p>
    <w:p w14:paraId="2B844DE6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/>
          <w:color w:val="auto"/>
          <w:sz w:val="32"/>
        </w:rPr>
        <w:t>主导产品所属领域情况（满分10分）</w:t>
      </w:r>
    </w:p>
    <w:p w14:paraId="0FB56B1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A.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属于《战略性新兴产业分类》</w:t>
      </w:r>
      <w:r>
        <w:rPr>
          <w:rFonts w:hint="default" w:ascii="Times New Roman" w:hAnsi="Times New Roman" w:cs="Times New Roman"/>
          <w:color w:val="auto"/>
          <w:sz w:val="32"/>
        </w:rPr>
        <w:t>（</w:t>
      </w:r>
      <w:r>
        <w:rPr>
          <w:rFonts w:hint="default" w:ascii="Times New Roman" w:hAnsi="Times New Roman" w:eastAsia="Times New Roman" w:cs="Times New Roman"/>
          <w:color w:val="auto"/>
          <w:sz w:val="32"/>
        </w:rPr>
        <w:t>10</w:t>
      </w:r>
      <w:r>
        <w:rPr>
          <w:rFonts w:hint="default" w:ascii="Times New Roman" w:hAnsi="Times New Roman" w:cs="Times New Roman"/>
          <w:color w:val="auto"/>
          <w:sz w:val="32"/>
        </w:rPr>
        <w:t>分）</w:t>
      </w:r>
    </w:p>
    <w:p w14:paraId="64062029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32"/>
        </w:rPr>
      </w:pPr>
      <w:bookmarkStart w:id="0" w:name="附件2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属于其他领域</w:t>
      </w:r>
      <w:r>
        <w:rPr>
          <w:rFonts w:hint="default" w:ascii="Times New Roman" w:hAnsi="Times New Roman" w:cs="Times New Roman"/>
          <w:color w:val="auto"/>
          <w:sz w:val="32"/>
        </w:rPr>
        <w:t>（</w:t>
      </w:r>
      <w:r>
        <w:rPr>
          <w:rFonts w:hint="default" w:ascii="Times New Roman" w:hAnsi="Times New Roman" w:eastAsia="Times New Roman" w:cs="Times New Roman"/>
          <w:color w:val="auto"/>
          <w:sz w:val="32"/>
        </w:rPr>
        <w:t>5</w:t>
      </w:r>
      <w:r>
        <w:rPr>
          <w:rFonts w:hint="default" w:ascii="Times New Roman" w:hAnsi="Times New Roman" w:cs="Times New Roman"/>
          <w:color w:val="auto"/>
          <w:sz w:val="32"/>
        </w:rPr>
        <w:t>分）</w:t>
      </w:r>
    </w:p>
    <w:p w14:paraId="5A14DFE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</w:rPr>
        <w:t>上年度主营业务收入总额占营业收入总额比重</w:t>
      </w:r>
      <w:r>
        <w:rPr>
          <w:rFonts w:hint="default" w:ascii="Times New Roman" w:hAnsi="Times New Roman" w:eastAsia="仿宋_GB2312" w:cs="Times New Roman"/>
          <w:color w:val="auto"/>
          <w:spacing w:val="5"/>
        </w:rPr>
        <w:t>（</w:t>
      </w:r>
      <w:r>
        <w:rPr>
          <w:rFonts w:hint="default" w:ascii="Times New Roman" w:hAnsi="Times New Roman" w:eastAsia="仿宋_GB2312" w:cs="Times New Roman"/>
          <w:color w:val="auto"/>
        </w:rPr>
        <w:t>满分</w:t>
      </w:r>
      <w:r>
        <w:rPr>
          <w:rFonts w:hint="default" w:ascii="Times New Roman" w:hAnsi="Times New Roman" w:eastAsia="Times New Roman" w:cs="Times New Roman"/>
          <w:color w:val="auto"/>
        </w:rPr>
        <w:t>20</w:t>
      </w:r>
      <w:r>
        <w:rPr>
          <w:rFonts w:hint="default" w:ascii="Times New Roman" w:hAnsi="Times New Roman" w:eastAsia="仿宋_GB2312" w:cs="Times New Roman"/>
          <w:color w:val="auto"/>
        </w:rPr>
        <w:t>分）</w:t>
      </w:r>
    </w:p>
    <w:p w14:paraId="35E234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A.70%以上（20分）</w:t>
      </w:r>
    </w:p>
    <w:p w14:paraId="425E68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color w:val="auto"/>
          <w:spacing w:val="-5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60%-70%（15分）</w:t>
      </w:r>
    </w:p>
    <w:p w14:paraId="44BC39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C</w:t>
      </w:r>
      <w:r>
        <w:rPr>
          <w:rFonts w:hint="default" w:ascii="Times New Roman" w:hAnsi="Times New Roman" w:eastAsia="仿宋_GB2312" w:cs="Times New Roman"/>
          <w:color w:val="auto"/>
          <w:spacing w:val="-5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55%-60%（10分）</w:t>
      </w:r>
    </w:p>
    <w:p w14:paraId="3595C7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D.50%-55%（5分）</w:t>
      </w:r>
    </w:p>
    <w:p w14:paraId="1A03A2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E.50%以下（0分）</w:t>
      </w:r>
    </w:p>
    <w:p w14:paraId="0D8135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 w14:paraId="0806BC9C"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44"/>
          <w:szCs w:val="44"/>
        </w:rPr>
      </w:pPr>
      <w:bookmarkStart w:id="1" w:name="_Hlk106275786"/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创新型中小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企业上传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佐证材料</w:t>
      </w:r>
      <w:bookmarkEnd w:id="1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清单</w:t>
      </w:r>
    </w:p>
    <w:p w14:paraId="01AC5606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D3DD9D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一、上传内容</w:t>
      </w:r>
    </w:p>
    <w:p w14:paraId="5B4519A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企业简介（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包括：企业名称、类型、所属行业、主导产品等，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100字以内）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3B3EE7C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2.营业执照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36A13D3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年12月底缴纳社保人数证明。</w:t>
      </w:r>
    </w:p>
    <w:p w14:paraId="165CC1D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利用微信“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中小企业规模类型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自测小程序”进行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自测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的测算结果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截图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4B5483C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上年度审计报告或财务报表（需能体现或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算出研发费用占营业收入总额的比重、主营业务收入增长率、资产负债率、主营业务收入总额占营业收入总额的比重等主要指标）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30CCE1A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.知识产权证书，包括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  <w:t>Ⅰ类知识产权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  <w:t>Ⅱ类知识产权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。其中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 w14:paraId="5D06C6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  <w:t>“Ⅰ类知识产权”包括发明专利（含国防专利）、植物新品种、国家级农作物品种、国家新药、国家一级中药保护品种、集成电路布图设计专有权（均不包含转让未满 1 年的知识产权）。</w:t>
      </w:r>
    </w:p>
    <w:p w14:paraId="5F78700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  <w:t>“Ⅰ类高价值知识产权”须符合以下条件之一：</w:t>
      </w:r>
    </w:p>
    <w:p w14:paraId="222D390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A.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  <w:t>在海外有同族专利权的发明专利或在海外取得收入的其 他Ⅰ类知识产权，其中专利限 G20 成员、新加坡以及欧洲专利局经实质审查后获得授权的发明专利。</w:t>
      </w:r>
    </w:p>
    <w:p w14:paraId="0316A47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color w:val="auto"/>
          <w:spacing w:val="-5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  <w:t>维持年限超过10年的Ⅰ类知识产权。</w:t>
      </w:r>
    </w:p>
    <w:p w14:paraId="73244B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C</w:t>
      </w:r>
      <w:r>
        <w:rPr>
          <w:rFonts w:hint="default" w:ascii="Times New Roman" w:hAnsi="Times New Roman" w:eastAsia="仿宋_GB2312" w:cs="Times New Roman"/>
          <w:color w:val="auto"/>
          <w:spacing w:val="-5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  <w:t>实现较高质押融资金额的Ⅰ类知识产权。</w:t>
      </w:r>
    </w:p>
    <w:p w14:paraId="34DF8CE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D.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  <w:t>获得国家科学技术奖或中国专利奖的Ⅰ类知识产权。</w:t>
      </w:r>
    </w:p>
    <w:p w14:paraId="5B60DF2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  <w:t>如有Ⅰ类高价值知识产权需附相关说明和佐证材料。</w:t>
      </w:r>
    </w:p>
    <w:p w14:paraId="73B85D4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  <w:t>“Ⅱ类知识产权”包括与主导产品相关的软件著作权（不含商标）、授权后维持超过 2 年的实用新型专利或外观设计专利（均不包含转让未满 1 年的知识产权）。</w:t>
      </w:r>
    </w:p>
    <w:p w14:paraId="08A276E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.如符合直通条件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（公告条件的四项）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则需提供相应佐证材料，如科技奖励证书、高新技术企业证书、研发机构认定文件等。</w:t>
      </w:r>
    </w:p>
    <w:p w14:paraId="2EADBA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.主导产品如属于战略性新兴产业分类，需提供说明。 </w:t>
      </w:r>
    </w:p>
    <w:p w14:paraId="3203EE7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.信用中国网站自查报告第二页公共信用信息概览。</w:t>
      </w:r>
    </w:p>
    <w:p w14:paraId="6EA44B3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.真实性声明函，需签字盖章。</w:t>
      </w:r>
    </w:p>
    <w:p w14:paraId="79825C6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.企业认为需要提供的其他佐证材料。</w:t>
      </w:r>
    </w:p>
    <w:p w14:paraId="61EC3F7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上传要求</w:t>
      </w:r>
    </w:p>
    <w:p w14:paraId="785336A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请将所有上传内容的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按顺序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扫描成1个PDF文件（文件大小需小于30M），上传至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培育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平台。</w:t>
      </w:r>
    </w:p>
    <w:p w14:paraId="088BB1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footerReference r:id="rId5" w:type="default"/>
          <w:pgSz w:w="11906" w:h="16838"/>
          <w:pgMar w:top="1984" w:right="1531" w:bottom="1701" w:left="1531" w:header="851" w:footer="992" w:gutter="0"/>
          <w:pgNumType w:fmt="decimal"/>
          <w:cols w:space="720" w:num="1"/>
          <w:docGrid w:type="lines" w:linePitch="312" w:charSpace="0"/>
        </w:sectPr>
      </w:pPr>
    </w:p>
    <w:p w14:paraId="4EE842EE">
      <w:pPr>
        <w:keepNext w:val="0"/>
        <w:keepLines w:val="0"/>
        <w:pageBreakBefore w:val="0"/>
        <w:tabs>
          <w:tab w:val="left" w:pos="10710"/>
        </w:tabs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 w14:paraId="0B825BF2"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创新型中小企业推荐汇总表</w:t>
      </w:r>
    </w:p>
    <w:p w14:paraId="6A417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师市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t>工业和信息化局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（盖章）：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 xml:space="preserve">                  </w:t>
      </w:r>
    </w:p>
    <w:tbl>
      <w:tblPr>
        <w:tblStyle w:val="9"/>
        <w:tblW w:w="14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063"/>
        <w:gridCol w:w="2137"/>
        <w:gridCol w:w="1238"/>
        <w:gridCol w:w="1434"/>
        <w:gridCol w:w="1960"/>
        <w:gridCol w:w="1762"/>
        <w:gridCol w:w="1106"/>
        <w:gridCol w:w="928"/>
        <w:gridCol w:w="861"/>
      </w:tblGrid>
      <w:tr w14:paraId="23607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11" w:type="dxa"/>
            <w:noWrap w:val="0"/>
            <w:vAlign w:val="center"/>
          </w:tcPr>
          <w:p w14:paraId="7B91F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2063" w:type="dxa"/>
            <w:noWrap w:val="0"/>
            <w:vAlign w:val="center"/>
          </w:tcPr>
          <w:p w14:paraId="50A20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企业名称</w:t>
            </w:r>
          </w:p>
        </w:tc>
        <w:tc>
          <w:tcPr>
            <w:tcW w:w="2137" w:type="dxa"/>
            <w:noWrap w:val="0"/>
            <w:vAlign w:val="center"/>
          </w:tcPr>
          <w:p w14:paraId="410CC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社会信用代码</w:t>
            </w:r>
          </w:p>
        </w:tc>
        <w:tc>
          <w:tcPr>
            <w:tcW w:w="1238" w:type="dxa"/>
            <w:noWrap w:val="0"/>
            <w:vAlign w:val="center"/>
          </w:tcPr>
          <w:p w14:paraId="39716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所属行业</w:t>
            </w:r>
          </w:p>
        </w:tc>
        <w:tc>
          <w:tcPr>
            <w:tcW w:w="1434" w:type="dxa"/>
            <w:noWrap w:val="0"/>
            <w:vAlign w:val="center"/>
          </w:tcPr>
          <w:p w14:paraId="1E477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主导产品</w:t>
            </w:r>
          </w:p>
        </w:tc>
        <w:tc>
          <w:tcPr>
            <w:tcW w:w="1960" w:type="dxa"/>
            <w:noWrap w:val="0"/>
            <w:vAlign w:val="center"/>
          </w:tcPr>
          <w:p w14:paraId="13B4A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联系人</w:t>
            </w:r>
          </w:p>
        </w:tc>
        <w:tc>
          <w:tcPr>
            <w:tcW w:w="1762" w:type="dxa"/>
            <w:noWrap w:val="0"/>
            <w:vAlign w:val="center"/>
          </w:tcPr>
          <w:p w14:paraId="71C31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106" w:type="dxa"/>
            <w:noWrap w:val="0"/>
            <w:vAlign w:val="center"/>
          </w:tcPr>
          <w:p w14:paraId="1389C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eastAsia="zh-CN"/>
              </w:rPr>
              <w:t>评分结果</w:t>
            </w:r>
          </w:p>
        </w:tc>
        <w:tc>
          <w:tcPr>
            <w:tcW w:w="928" w:type="dxa"/>
            <w:noWrap w:val="0"/>
            <w:vAlign w:val="center"/>
          </w:tcPr>
          <w:p w14:paraId="5AADB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是否实地核查</w:t>
            </w:r>
          </w:p>
        </w:tc>
        <w:tc>
          <w:tcPr>
            <w:tcW w:w="861" w:type="dxa"/>
            <w:noWrap w:val="0"/>
            <w:vAlign w:val="center"/>
          </w:tcPr>
          <w:p w14:paraId="07788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审核推荐意见</w:t>
            </w:r>
          </w:p>
        </w:tc>
      </w:tr>
      <w:tr w14:paraId="0E25C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1" w:type="dxa"/>
            <w:noWrap w:val="0"/>
            <w:vAlign w:val="center"/>
          </w:tcPr>
          <w:p w14:paraId="21EDD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063" w:type="dxa"/>
            <w:noWrap w:val="0"/>
            <w:vAlign w:val="center"/>
          </w:tcPr>
          <w:p w14:paraId="4D1E7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2137" w:type="dxa"/>
            <w:noWrap w:val="0"/>
            <w:vAlign w:val="center"/>
          </w:tcPr>
          <w:p w14:paraId="0418A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1C009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6F8F1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center"/>
          </w:tcPr>
          <w:p w14:paraId="71108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0990A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780B1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928" w:type="dxa"/>
            <w:noWrap w:val="0"/>
            <w:vAlign w:val="center"/>
          </w:tcPr>
          <w:p w14:paraId="30CF4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861" w:type="dxa"/>
            <w:noWrap w:val="0"/>
            <w:vAlign w:val="center"/>
          </w:tcPr>
          <w:p w14:paraId="1004D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3B297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1" w:type="dxa"/>
            <w:noWrap w:val="0"/>
            <w:vAlign w:val="center"/>
          </w:tcPr>
          <w:p w14:paraId="511B2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063" w:type="dxa"/>
            <w:noWrap w:val="0"/>
            <w:vAlign w:val="center"/>
          </w:tcPr>
          <w:p w14:paraId="73BDD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2137" w:type="dxa"/>
            <w:noWrap w:val="0"/>
            <w:vAlign w:val="center"/>
          </w:tcPr>
          <w:p w14:paraId="65301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6DA96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F9A0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center"/>
          </w:tcPr>
          <w:p w14:paraId="0143C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1F76F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4B6E8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928" w:type="dxa"/>
            <w:noWrap w:val="0"/>
            <w:vAlign w:val="center"/>
          </w:tcPr>
          <w:p w14:paraId="6B0F9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861" w:type="dxa"/>
            <w:noWrap w:val="0"/>
            <w:vAlign w:val="center"/>
          </w:tcPr>
          <w:p w14:paraId="1F459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5C8F9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1" w:type="dxa"/>
            <w:noWrap w:val="0"/>
            <w:vAlign w:val="center"/>
          </w:tcPr>
          <w:p w14:paraId="02681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063" w:type="dxa"/>
            <w:noWrap w:val="0"/>
            <w:vAlign w:val="center"/>
          </w:tcPr>
          <w:p w14:paraId="6C380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2137" w:type="dxa"/>
            <w:noWrap w:val="0"/>
            <w:vAlign w:val="center"/>
          </w:tcPr>
          <w:p w14:paraId="2213A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5F172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687F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center"/>
          </w:tcPr>
          <w:p w14:paraId="5DA96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764D4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77D44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928" w:type="dxa"/>
            <w:noWrap w:val="0"/>
            <w:vAlign w:val="center"/>
          </w:tcPr>
          <w:p w14:paraId="4A056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861" w:type="dxa"/>
            <w:noWrap w:val="0"/>
            <w:vAlign w:val="center"/>
          </w:tcPr>
          <w:p w14:paraId="374F6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2F36F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1" w:type="dxa"/>
            <w:noWrap w:val="0"/>
            <w:vAlign w:val="center"/>
          </w:tcPr>
          <w:p w14:paraId="01EB1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063" w:type="dxa"/>
            <w:noWrap w:val="0"/>
            <w:vAlign w:val="center"/>
          </w:tcPr>
          <w:p w14:paraId="566D3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2137" w:type="dxa"/>
            <w:noWrap w:val="0"/>
            <w:vAlign w:val="center"/>
          </w:tcPr>
          <w:p w14:paraId="2CF42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40254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6B30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center"/>
          </w:tcPr>
          <w:p w14:paraId="1FB5C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02BC1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3F962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928" w:type="dxa"/>
            <w:noWrap w:val="0"/>
            <w:vAlign w:val="center"/>
          </w:tcPr>
          <w:p w14:paraId="6443A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861" w:type="dxa"/>
            <w:noWrap w:val="0"/>
            <w:vAlign w:val="center"/>
          </w:tcPr>
          <w:p w14:paraId="35ACB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41B8B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1" w:type="dxa"/>
            <w:noWrap w:val="0"/>
            <w:vAlign w:val="center"/>
          </w:tcPr>
          <w:p w14:paraId="4F0B2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063" w:type="dxa"/>
            <w:noWrap w:val="0"/>
            <w:vAlign w:val="center"/>
          </w:tcPr>
          <w:p w14:paraId="79617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2137" w:type="dxa"/>
            <w:noWrap w:val="0"/>
            <w:vAlign w:val="center"/>
          </w:tcPr>
          <w:p w14:paraId="12E78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5B625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929B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center"/>
          </w:tcPr>
          <w:p w14:paraId="47A34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20DBB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0B36A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928" w:type="dxa"/>
            <w:noWrap w:val="0"/>
            <w:vAlign w:val="center"/>
          </w:tcPr>
          <w:p w14:paraId="15D31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861" w:type="dxa"/>
            <w:noWrap w:val="0"/>
            <w:vAlign w:val="center"/>
          </w:tcPr>
          <w:p w14:paraId="4DC6F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2DEB1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1" w:type="dxa"/>
            <w:noWrap w:val="0"/>
            <w:vAlign w:val="center"/>
          </w:tcPr>
          <w:p w14:paraId="72B69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063" w:type="dxa"/>
            <w:noWrap w:val="0"/>
            <w:vAlign w:val="center"/>
          </w:tcPr>
          <w:p w14:paraId="17136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2137" w:type="dxa"/>
            <w:noWrap w:val="0"/>
            <w:vAlign w:val="center"/>
          </w:tcPr>
          <w:p w14:paraId="20FBF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33317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0A5C2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center"/>
          </w:tcPr>
          <w:p w14:paraId="699C6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02A9D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79A05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928" w:type="dxa"/>
            <w:noWrap w:val="0"/>
            <w:vAlign w:val="center"/>
          </w:tcPr>
          <w:p w14:paraId="63ED8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861" w:type="dxa"/>
            <w:noWrap w:val="0"/>
            <w:vAlign w:val="center"/>
          </w:tcPr>
          <w:p w14:paraId="22905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4E6E7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1" w:type="dxa"/>
            <w:noWrap w:val="0"/>
            <w:vAlign w:val="center"/>
          </w:tcPr>
          <w:p w14:paraId="7B260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063" w:type="dxa"/>
            <w:noWrap w:val="0"/>
            <w:vAlign w:val="center"/>
          </w:tcPr>
          <w:p w14:paraId="10EA9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2137" w:type="dxa"/>
            <w:noWrap w:val="0"/>
            <w:vAlign w:val="center"/>
          </w:tcPr>
          <w:p w14:paraId="2B2B0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047EB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0D756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center"/>
          </w:tcPr>
          <w:p w14:paraId="0076B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5F4CA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6F89E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928" w:type="dxa"/>
            <w:noWrap w:val="0"/>
            <w:vAlign w:val="center"/>
          </w:tcPr>
          <w:p w14:paraId="31F3D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861" w:type="dxa"/>
            <w:noWrap w:val="0"/>
            <w:vAlign w:val="center"/>
          </w:tcPr>
          <w:p w14:paraId="29275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16F9F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1" w:type="dxa"/>
            <w:noWrap w:val="0"/>
            <w:vAlign w:val="center"/>
          </w:tcPr>
          <w:p w14:paraId="3FBA1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063" w:type="dxa"/>
            <w:noWrap w:val="0"/>
            <w:vAlign w:val="center"/>
          </w:tcPr>
          <w:p w14:paraId="4FBCC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2137" w:type="dxa"/>
            <w:noWrap w:val="0"/>
            <w:vAlign w:val="center"/>
          </w:tcPr>
          <w:p w14:paraId="0CB34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0CB7E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617E2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center"/>
          </w:tcPr>
          <w:p w14:paraId="7F8E2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1C8FB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1633B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928" w:type="dxa"/>
            <w:noWrap w:val="0"/>
            <w:vAlign w:val="center"/>
          </w:tcPr>
          <w:p w14:paraId="76DC2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861" w:type="dxa"/>
            <w:noWrap w:val="0"/>
            <w:vAlign w:val="center"/>
          </w:tcPr>
          <w:p w14:paraId="59798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1814D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1" w:type="dxa"/>
            <w:noWrap w:val="0"/>
            <w:vAlign w:val="center"/>
          </w:tcPr>
          <w:p w14:paraId="7A22B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063" w:type="dxa"/>
            <w:noWrap w:val="0"/>
            <w:vAlign w:val="center"/>
          </w:tcPr>
          <w:p w14:paraId="67998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2137" w:type="dxa"/>
            <w:noWrap w:val="0"/>
            <w:vAlign w:val="center"/>
          </w:tcPr>
          <w:p w14:paraId="3D32E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09764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64F69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center"/>
          </w:tcPr>
          <w:p w14:paraId="1D14C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46D6B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36F55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928" w:type="dxa"/>
            <w:noWrap w:val="0"/>
            <w:vAlign w:val="center"/>
          </w:tcPr>
          <w:p w14:paraId="41048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861" w:type="dxa"/>
            <w:noWrap w:val="0"/>
            <w:vAlign w:val="center"/>
          </w:tcPr>
          <w:p w14:paraId="6C820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4F55D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11" w:type="dxa"/>
            <w:noWrap w:val="0"/>
            <w:vAlign w:val="center"/>
          </w:tcPr>
          <w:p w14:paraId="33BAD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2063" w:type="dxa"/>
            <w:noWrap w:val="0"/>
            <w:vAlign w:val="center"/>
          </w:tcPr>
          <w:p w14:paraId="19E32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2137" w:type="dxa"/>
            <w:noWrap w:val="0"/>
            <w:vAlign w:val="center"/>
          </w:tcPr>
          <w:p w14:paraId="61A13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1D285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691F3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center"/>
          </w:tcPr>
          <w:p w14:paraId="66594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58D9F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0CBEB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928" w:type="dxa"/>
            <w:noWrap w:val="0"/>
            <w:vAlign w:val="center"/>
          </w:tcPr>
          <w:p w14:paraId="2808A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861" w:type="dxa"/>
            <w:noWrap w:val="0"/>
            <w:vAlign w:val="center"/>
          </w:tcPr>
          <w:p w14:paraId="4772B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</w:tbl>
    <w:p w14:paraId="4186282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sectPr>
          <w:pgSz w:w="16838" w:h="11906" w:orient="landscape"/>
          <w:pgMar w:top="1984" w:right="1531" w:bottom="1701" w:left="153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注：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企业名称、社会信用代码、企业规模、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所属行业等，可从培育平台管理端点击“申报记录－－导出Excel”一次性导出；是否实地核查填写“是/否”；审核推荐意见填写“同意推荐/不同意推荐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”。</w:t>
      </w:r>
    </w:p>
    <w:p w14:paraId="33393B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sectPr>
          <w:pgSz w:w="11906" w:h="16838"/>
          <w:pgMar w:top="1984" w:right="1531" w:bottom="1701" w:left="1531" w:header="851" w:footer="992" w:gutter="0"/>
          <w:pgNumType w:fmt="decimal"/>
          <w:cols w:space="425" w:num="1"/>
          <w:docGrid w:type="lines" w:linePitch="312" w:charSpace="0"/>
        </w:sectPr>
      </w:pPr>
    </w:p>
    <w:p w14:paraId="7D229AC5">
      <w:pPr>
        <w:pStyle w:val="2"/>
      </w:pPr>
    </w:p>
    <w:sectPr>
      <w:pgSz w:w="11906" w:h="16838"/>
      <w:pgMar w:top="1984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F65B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AB6E7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9AB6E7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832F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0A5E32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0A5E32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77A492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77A492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DAAC85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DAAC85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6D32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568421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568421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E515B9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E515B9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E7AC1"/>
    <w:rsid w:val="01AC75F0"/>
    <w:rsid w:val="04A66578"/>
    <w:rsid w:val="04DF5F2E"/>
    <w:rsid w:val="084E7652"/>
    <w:rsid w:val="0CA57A5D"/>
    <w:rsid w:val="0EDE16F0"/>
    <w:rsid w:val="11C62DA7"/>
    <w:rsid w:val="11F0177A"/>
    <w:rsid w:val="153D1481"/>
    <w:rsid w:val="153D4CD7"/>
    <w:rsid w:val="15F1161D"/>
    <w:rsid w:val="1AB62BF7"/>
    <w:rsid w:val="1F234F3D"/>
    <w:rsid w:val="21F42BC1"/>
    <w:rsid w:val="23160915"/>
    <w:rsid w:val="23E0671E"/>
    <w:rsid w:val="25345DF1"/>
    <w:rsid w:val="2AD417E1"/>
    <w:rsid w:val="320C7AB3"/>
    <w:rsid w:val="3AAC1E33"/>
    <w:rsid w:val="3AAE7AC1"/>
    <w:rsid w:val="3AF235BE"/>
    <w:rsid w:val="3B0532F1"/>
    <w:rsid w:val="3B9A612F"/>
    <w:rsid w:val="40224945"/>
    <w:rsid w:val="44682689"/>
    <w:rsid w:val="48CE566A"/>
    <w:rsid w:val="48FC21D7"/>
    <w:rsid w:val="49153299"/>
    <w:rsid w:val="4BE64A79"/>
    <w:rsid w:val="505226DD"/>
    <w:rsid w:val="526F3A1A"/>
    <w:rsid w:val="53894668"/>
    <w:rsid w:val="5454111A"/>
    <w:rsid w:val="58B84160"/>
    <w:rsid w:val="5D881E34"/>
    <w:rsid w:val="5D9C58DF"/>
    <w:rsid w:val="5DAD189A"/>
    <w:rsid w:val="606E1B2D"/>
    <w:rsid w:val="67A40418"/>
    <w:rsid w:val="6E5143CE"/>
    <w:rsid w:val="6EBB5AB6"/>
    <w:rsid w:val="73171838"/>
    <w:rsid w:val="733D896D"/>
    <w:rsid w:val="77ED6FA0"/>
    <w:rsid w:val="7AB160CE"/>
    <w:rsid w:val="7C5741A7"/>
    <w:rsid w:val="DBFE9CB3"/>
    <w:rsid w:val="FED0D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qFormat/>
    <w:uiPriority w:val="1"/>
    <w:pPr>
      <w:spacing w:before="214"/>
      <w:ind w:left="1200" w:hanging="241"/>
      <w:outlineLvl w:val="1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1"/>
    <w:pPr>
      <w:spacing w:before="214"/>
      <w:ind w:left="1200" w:hanging="241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2717</Words>
  <Characters>3004</Characters>
  <Lines>0</Lines>
  <Paragraphs>0</Paragraphs>
  <TotalTime>32</TotalTime>
  <ScaleCrop>false</ScaleCrop>
  <LinksUpToDate>false</LinksUpToDate>
  <CharactersWithSpaces>3097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2025-01-19T22:41:00Z</dcterms:created>
  <dc:creator>谭娟</dc:creator>
  <cp:lastModifiedBy>单骑</cp:lastModifiedBy>
  <cp:lastPrinted>2025-02-14T19:14:00Z</cp:lastPrinted>
  <dcterms:modified xsi:type="dcterms:W3CDTF">2025-02-15T01:37:05Z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16791A216EAF4024A08539CE5E228FFB_13</vt:lpwstr>
  </property>
  <property fmtid="{D5CDD505-2E9C-101B-9397-08002B2CF9AE}" pid="4" name="KSOTemplateDocerSaveRecord">
    <vt:lpwstr>eyJoZGlkIjoiYjBmMDM5ZWFiYTc3ZGJmZGVkZDc4NzRjMzJhYjAxM2UiLCJ1c2VySWQiOiI1NDU4NTI4NDEifQ==</vt:lpwstr>
  </property>
</Properties>
</file>